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876300" cy="71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76300" cy="714375"/>
                    </a:xfrm>
                    <a:prstGeom prst="rect">
                      <a:avLst/>
                    </a:prstGeom>
                  </pic:spPr>
                </pic:pic>
              </a:graphicData>
            </a:graphic>
          </wp:inline>
        </w:drawing>
      </w:r>
    </w:p>
    <w:p>
      <w:pPr>
        <w:spacing w:after="120"/>
      </w:pPr>
      <w:r>
        <w:rPr>
          <w:rFonts w:ascii="Arial" w:cs="Arial" w:eastAsia="Arial" w:hAnsi="Arial"/>
          <w:b/>
          <w:bCs/>
          <w:color w:val="006169"/>
          <w:spacing w:val="20"/>
          <w:sz w:val="18"/>
          <w:szCs w:val="18"/>
        </w:rPr>
        <w:t xml:space="preserve">PERSBERICHT</w:t>
      </w:r>
    </w:p>
    <w:p>
      <w:pPr>
        <w:spacing w:after="160" w:line="360"/>
      </w:pPr>
      <w:r>
        <w:rPr>
          <w:rFonts w:ascii="Arial" w:cs="Arial" w:eastAsia="Arial" w:hAnsi="Arial"/>
          <w:b/>
          <w:bCs/>
          <w:color w:val="1A1A1A"/>
          <w:sz w:val="36"/>
          <w:szCs w:val="36"/>
        </w:rPr>
        <w:t xml:space="preserve">Bijna 51.000 auto's die het afgelopen jaar van eigenaar wisselden, hebben een onlogische tellerstand</w:t>
      </w:r>
    </w:p>
    <w:p>
      <w:pPr>
        <w:spacing w:after="280" w:line="320"/>
      </w:pPr>
      <w:r>
        <w:rPr>
          <w:rFonts w:ascii="Arial" w:cs="Arial" w:eastAsia="Arial" w:hAnsi="Arial"/>
          <w:color w:val="006169"/>
          <w:sz w:val="24"/>
          <w:szCs w:val="24"/>
        </w:rPr>
        <w:t xml:space="preserve">Vooral oudere auto's, maar ook ruim 7.000 occasions jonger dan vijf jaar. Het oordeel van de RDW is gratis te checken met alleen het kenteken.</w:t>
      </w:r>
    </w:p>
    <w:p>
      <w:pPr>
        <w:spacing w:after="140" w:line="300"/>
      </w:pPr>
      <w:r>
        <w:rPr>
          <w:rFonts w:ascii="Arial" w:cs="Arial" w:eastAsia="Arial" w:hAnsi="Arial"/>
          <w:b/>
          <w:bCs/>
          <w:color w:val="1A1A1A"/>
          <w:sz w:val="21"/>
          <w:szCs w:val="21"/>
        </w:rPr>
        <w:t xml:space="preserve">5 oktober 2026</w:t>
      </w:r>
      <w:r>
        <w:rPr>
          <w:rFonts w:ascii="Arial" w:cs="Arial" w:eastAsia="Arial" w:hAnsi="Arial"/>
          <w:color w:val="1A1A1A"/>
          <w:sz w:val="21"/>
          <w:szCs w:val="21"/>
        </w:rPr>
        <w:t xml:space="preserve"> – Bij 50.905 gebruikte personenauto's die het afgelopen jaar van eigenaar wisselden, staat bij de RDW een onlogische tellerstand geregistreerd. Het gaat om 3,6 procent van alle occasions waarvoor de RDW een oordeel geeft. Dat blijkt uit analyse van RDW Open Data door ikwilvanmijnautoaf.nl over de periode 1 oktober 2025 tot en met 28 september 2026. Alleen al in september ging het om 6.736 auto's. Het volledige onderzoek, met grafieken en infographic, staat op ikwilvanmijnautoaf.nl/blog/onderzoek-tellerstanden.</w:t>
      </w:r>
    </w:p>
    <w:p>
      <w:pPr>
        <w:spacing w:after="140" w:line="300"/>
      </w:pPr>
      <w:r>
        <w:rPr>
          <w:rFonts w:ascii="Arial" w:cs="Arial" w:eastAsia="Arial" w:hAnsi="Arial"/>
          <w:color w:val="1A1A1A"/>
          <w:sz w:val="21"/>
          <w:szCs w:val="21"/>
        </w:rPr>
        <w:t xml:space="preserve">Een onlogische tellerstand betekent dat de RDW in de reeks geregistreerde kilometerstanden een stand heeft gevonden die lager is dan de stand daarvoor. Volgens de RDW kan dat komen door een typfout, maar ook doordat de teller is teruggedraaid. Een onlogische tellerstand is dus geen bewijs van fraude. De RDW geeft het oordeel alleen op basis van registraties vanaf 1 januari 2014.</w:t>
      </w:r>
    </w:p>
    <w:p>
      <w:pPr>
        <w:pStyle w:val="Heading2"/>
        <w:spacing w:after="100" w:before="260"/>
      </w:pPr>
      <w:r>
        <w:rPr>
          <w:rFonts w:ascii="Arial" w:cs="Arial" w:eastAsia="Arial" w:hAnsi="Arial"/>
          <w:b/>
          <w:bCs/>
          <w:color w:val="006169"/>
          <w:sz w:val="24"/>
          <w:szCs w:val="24"/>
        </w:rPr>
        <w:t xml:space="preserve">Vooral oudere auto's, maar ook duizenden jonge</w:t>
      </w:r>
    </w:p>
    <w:p>
      <w:pPr>
        <w:spacing w:after="140" w:line="300"/>
      </w:pPr>
      <w:r>
        <w:rPr>
          <w:rFonts w:ascii="Arial" w:cs="Arial" w:eastAsia="Arial" w:hAnsi="Arial"/>
          <w:color w:val="1A1A1A"/>
          <w:sz w:val="21"/>
          <w:szCs w:val="21"/>
        </w:rPr>
        <w:t xml:space="preserve">Ruim de helft van de auto's met een onlogische tellerstand (27.207) is vijftien jaar of ouder. In die leeftijdsgroep heeft 6,6 procent van de auto's met een RDW-oordeel een onlogische stand. Bij auto's jonger dan vijf jaar is dat 1,9 procent. Dat lijkt weinig, maar het gaat nog steeds om 7.132 auto's.</w:t>
      </w:r>
    </w:p>
    <w:p>
      <w:pPr>
        <w:spacing w:after="140" w:line="300"/>
      </w:pPr>
      <w:r>
        <w:rPr>
          <w:rFonts w:ascii="Arial" w:cs="Arial" w:eastAsia="Arial" w:hAnsi="Arial"/>
          <w:color w:val="1A1A1A"/>
          <w:sz w:val="21"/>
          <w:szCs w:val="21"/>
        </w:rPr>
        <w:t xml:space="preserve">Het gaat grotendeels om auto's die nog in gebruik zijn: 85 procent (43.039) kreeg dit jaar nog een nieuwe tellerstandregistratie, bijvoorbeeld bij een APK of onderhoudsbeurt.</w:t>
      </w:r>
    </w:p>
    <w:p>
      <w:pPr>
        <w:pStyle w:val="Heading2"/>
        <w:spacing w:after="100" w:before="260"/>
      </w:pPr>
      <w:r>
        <w:rPr>
          <w:rFonts w:ascii="Arial" w:cs="Arial" w:eastAsia="Arial" w:hAnsi="Arial"/>
          <w:b/>
          <w:bCs/>
          <w:color w:val="006169"/>
          <w:sz w:val="24"/>
          <w:szCs w:val="24"/>
        </w:rPr>
        <w:t xml:space="preserve">Veel verhandelde modellen bovenaan</w:t>
      </w:r>
    </w:p>
    <w:p>
      <w:pPr>
        <w:spacing w:after="140" w:line="300"/>
      </w:pPr>
      <w:r>
        <w:rPr>
          <w:rFonts w:ascii="Arial" w:cs="Arial" w:eastAsia="Arial" w:hAnsi="Arial"/>
          <w:color w:val="1A1A1A"/>
          <w:sz w:val="21"/>
          <w:szCs w:val="21"/>
        </w:rPr>
        <w:t xml:space="preserve">In absolute aantallen staan de Volkswagen Polo (1.795) en Golf (1.753) bovenaan, gevolgd door de Toyota Aygo (1.018), Ford Focus (775) en Peugeot 107 (718). Van deze betaalbare modellen worden veel exemplaren verhandeld, wat hun plek in de lijst deels verklaart.</w:t>
      </w:r>
    </w:p>
    <w:p>
      <w:pPr>
        <w:pStyle w:val="Heading2"/>
        <w:spacing w:after="100" w:before="260"/>
      </w:pPr>
      <w:r>
        <w:rPr>
          <w:rFonts w:ascii="Arial" w:cs="Arial" w:eastAsia="Arial" w:hAnsi="Arial"/>
          <w:b/>
          <w:bCs/>
          <w:color w:val="006169"/>
          <w:sz w:val="24"/>
          <w:szCs w:val="24"/>
        </w:rPr>
        <w:t xml:space="preserve">Groot verschil tussen merken</w:t>
      </w:r>
    </w:p>
    <w:p>
      <w:pPr>
        <w:spacing w:after="140" w:line="300"/>
      </w:pPr>
      <w:r>
        <w:rPr>
          <w:rFonts w:ascii="Arial" w:cs="Arial" w:eastAsia="Arial" w:hAnsi="Arial"/>
          <w:color w:val="1A1A1A"/>
          <w:sz w:val="21"/>
          <w:szCs w:val="21"/>
        </w:rPr>
        <w:t xml:space="preserve">Het aandeel verschilt sterk per merk, ook als rekening wordt gehouden met de leeftijd van de auto's. Na die correctie heeft Mercedes-Benz het hoogste aandeel: 6,2 procent. Ook Volkswagen, Mini, Volvo, BMW en Audi zitten boven de 4 procent. Kia, Škoda en Hyundai hebben het laagste aandeel, Hyundai met 2,4 procent.</w:t>
      </w:r>
    </w:p>
    <w:p>
      <w:pPr>
        <w:spacing w:after="140" w:line="300"/>
      </w:pPr>
      <w:r>
        <w:rPr>
          <w:rFonts w:ascii="Arial" w:cs="Arial" w:eastAsia="Arial" w:hAnsi="Arial"/>
          <w:color w:val="1A1A1A"/>
          <w:sz w:val="21"/>
          <w:szCs w:val="21"/>
        </w:rPr>
        <w:t xml:space="preserve">Een deel van het verschil kan samenhangen met import. Ruim een derde van de auto's met een onlogische tellerstand (18.606) is geïmporteerd. Bij auto's uit België en Duitsland geeft de RDW het oordeel onlogisch als de standen na invoer niet oplopen.</w:t>
      </w:r>
    </w:p>
    <w:p>
      <w:pPr>
        <w:pStyle w:val="Heading2"/>
        <w:spacing w:after="100" w:before="260"/>
      </w:pPr>
      <w:r>
        <w:rPr>
          <w:rFonts w:ascii="Arial" w:cs="Arial" w:eastAsia="Arial" w:hAnsi="Arial"/>
          <w:b/>
          <w:bCs/>
          <w:color w:val="006169"/>
          <w:sz w:val="24"/>
          <w:szCs w:val="24"/>
        </w:rPr>
        <w:t xml:space="preserve">Check het oordeel vóór je koopt</w:t>
      </w:r>
    </w:p>
    <w:p>
      <w:pPr>
        <w:spacing w:after="140" w:line="300"/>
      </w:pPr>
      <w:r>
        <w:rPr>
          <w:rFonts w:ascii="Arial" w:cs="Arial" w:eastAsia="Arial" w:hAnsi="Arial"/>
          <w:color w:val="1A1A1A"/>
          <w:sz w:val="21"/>
          <w:szCs w:val="21"/>
        </w:rPr>
        <w:t xml:space="preserve">“Een onlogische tellerstand is geen bewijs van fraude, maar je wilt het wel weten voordat je betaalt”, zegt Niels Oude Luttikhuis, oprichter en CEO van ikwilvanmijnautoaf.nl. “Het oordeel is gratis te checken met alleen het kenteken. Juist bij goedkope occasions heeft een koper weinig ruimte om een tegenvaller op te vangen.”</w:t>
      </w:r>
    </w:p>
    <w:p>
      <w:pPr>
        <w:pStyle w:val="Heading2"/>
        <w:spacing w:after="100" w:before="260"/>
      </w:pPr>
      <w:r>
        <w:rPr>
          <w:rFonts w:ascii="Arial" w:cs="Arial" w:eastAsia="Arial" w:hAnsi="Arial"/>
          <w:b/>
          <w:bCs/>
          <w:color w:val="006169"/>
          <w:sz w:val="24"/>
          <w:szCs w:val="24"/>
        </w:rPr>
        <w:t xml:space="preserve">Tips voor kopers en verkopers</w:t>
      </w:r>
    </w:p>
    <w:p>
      <w:pPr>
        <w:pStyle w:val="ListParagraph"/>
        <w:numPr>
          <w:ilvl w:val="0"/>
          <w:numId w:val="2"/>
        </w:numPr>
        <w:spacing w:after="100" w:line="290"/>
      </w:pPr>
      <w:r>
        <w:rPr>
          <w:rFonts w:ascii="Arial" w:cs="Arial" w:eastAsia="Arial" w:hAnsi="Arial"/>
          <w:b/>
          <w:bCs/>
          <w:color w:val="1A1A1A"/>
          <w:sz w:val="21"/>
          <w:szCs w:val="21"/>
        </w:rPr>
        <w:t xml:space="preserve">Koop je een occasion?</w:t>
      </w:r>
      <w:r>
        <w:rPr>
          <w:rFonts w:ascii="Arial" w:cs="Arial" w:eastAsia="Arial" w:hAnsi="Arial"/>
          <w:color w:val="1A1A1A"/>
          <w:sz w:val="21"/>
          <w:szCs w:val="21"/>
        </w:rPr>
        <w:t xml:space="preserve"> Zoek vóór de koop het tellerstandoordeel op via de kentekencheck van de RDW. Staat er onlogisch, vraag dan om onderhoudsfacturen en APK-rapporten waaruit de werkelijke stand blijkt.</w:t>
      </w:r>
    </w:p>
    <w:p>
      <w:pPr>
        <w:pStyle w:val="ListParagraph"/>
        <w:numPr>
          <w:ilvl w:val="0"/>
          <w:numId w:val="2"/>
        </w:numPr>
        <w:spacing w:after="100" w:line="290"/>
      </w:pPr>
      <w:r>
        <w:rPr>
          <w:rFonts w:ascii="Arial" w:cs="Arial" w:eastAsia="Arial" w:hAnsi="Arial"/>
          <w:b/>
          <w:bCs/>
          <w:color w:val="1A1A1A"/>
          <w:sz w:val="21"/>
          <w:szCs w:val="21"/>
        </w:rPr>
        <w:t xml:space="preserve">Verkoop je je auto?</w:t>
      </w:r>
      <w:r>
        <w:rPr>
          <w:rFonts w:ascii="Arial" w:cs="Arial" w:eastAsia="Arial" w:hAnsi="Arial"/>
          <w:color w:val="1A1A1A"/>
          <w:sz w:val="21"/>
          <w:szCs w:val="21"/>
        </w:rPr>
        <w:t xml:space="preserve"> Check eerst zelf het oordeel. Is het onlogisch, meld dat dan vooraf aan de koper en leg de facturen of onderhoudshistorie klaar die de juiste stand laten zien. Dat voorkomt discussie achteraf.</w:t>
      </w:r>
    </w:p>
    <w:p>
      <w:pPr>
        <w:pStyle w:val="ListParagraph"/>
        <w:numPr>
          <w:ilvl w:val="0"/>
          <w:numId w:val="2"/>
        </w:numPr>
        <w:spacing w:after="100" w:line="290"/>
      </w:pPr>
      <w:r>
        <w:rPr>
          <w:rFonts w:ascii="Arial" w:cs="Arial" w:eastAsia="Arial" w:hAnsi="Arial"/>
          <w:b/>
          <w:bCs/>
          <w:color w:val="1A1A1A"/>
          <w:sz w:val="21"/>
          <w:szCs w:val="21"/>
        </w:rPr>
        <w:t xml:space="preserve">Klopt de stand niet?</w:t>
      </w:r>
      <w:r>
        <w:rPr>
          <w:rFonts w:ascii="Arial" w:cs="Arial" w:eastAsia="Arial" w:hAnsi="Arial"/>
          <w:color w:val="1A1A1A"/>
          <w:sz w:val="21"/>
          <w:szCs w:val="21"/>
        </w:rPr>
        <w:t xml:space="preserve"> Een onlogisch oordeel verdwijnt niet vanzelf. Bij een aantoonbare fout kun je als eigenaar zelf een correctie aanvragen bij de RDW, met bewijs zoals een factuur, werkorder of onderhoudsboekje. Zit de fout in de laatste registratie, dan kan het bedrijf dat die stand doorgaf het vaak direct herstellen.</w:t>
      </w:r>
    </w:p>
    <w:p>
      <w:pPr>
        <w:pStyle w:val="Heading2"/>
        <w:spacing w:after="100" w:before="260"/>
      </w:pPr>
      <w:r>
        <w:rPr>
          <w:rFonts w:ascii="Arial" w:cs="Arial" w:eastAsia="Arial" w:hAnsi="Arial"/>
          <w:b/>
          <w:bCs/>
          <w:color w:val="006169"/>
          <w:sz w:val="24"/>
          <w:szCs w:val="24"/>
        </w:rPr>
        <w:t xml:space="preserve">Kerncijfers</w:t>
      </w:r>
    </w:p>
    <w:tbl>
      <w:tblPr>
        <w:tblW w:type="dxa" w:w="9412"/>
        <w:tblBorders>
          <w:top w:val="single" w:color="auto" w:sz="4"/>
          <w:left w:val="single" w:color="auto" w:sz="4"/>
          <w:bottom w:val="single" w:color="auto" w:sz="4"/>
          <w:right w:val="single" w:color="auto" w:sz="4"/>
          <w:insideH w:val="single" w:color="auto" w:sz="4"/>
          <w:insideV w:val="single" w:color="auto" w:sz="4"/>
        </w:tblBorders>
      </w:tblPr>
      <w:tblGrid>
        <w:gridCol w:w="6212"/>
        <w:gridCol w:w="3200"/>
      </w:tblGrid>
      <w:tr>
        <w:trPr>
          <w:tblHeader/>
        </w:trPr>
        <w:tc>
          <w:tcPr>
            <w:tcW w:type="dxa" w:w="6212"/>
            <w:tcBorders>
              <w:top w:val="single" w:color="C9DCDC" w:sz="4"/>
              <w:left w:val="single" w:color="C9DCDC" w:sz="4"/>
              <w:bottom w:val="single" w:color="C9DCDC" w:sz="4"/>
              <w:right w:val="single" w:color="C9DCDC" w:sz="4"/>
            </w:tcBorders>
            <w:shd w:fill="006169" w:color="auto" w:val="clear"/>
            <w:tcMar>
              <w:top w:type="dxa" w:w="70"/>
              <w:left w:type="dxa" w:w="110"/>
              <w:bottom w:type="dxa" w:w="70"/>
              <w:right w:type="dxa" w:w="110"/>
            </w:tcMar>
          </w:tcPr>
          <w:p>
            <w:r>
              <w:rPr>
                <w:rFonts w:ascii="Arial" w:cs="Arial" w:eastAsia="Arial" w:hAnsi="Arial"/>
                <w:b/>
                <w:bCs/>
                <w:color w:val="FFFFFF"/>
                <w:sz w:val="19"/>
                <w:szCs w:val="19"/>
              </w:rPr>
              <w:t xml:space="preserve">Cijfer</w:t>
            </w:r>
          </w:p>
        </w:tc>
        <w:tc>
          <w:tcPr>
            <w:tcW w:type="dxa" w:w="3200"/>
            <w:tcBorders>
              <w:top w:val="single" w:color="C9DCDC" w:sz="4"/>
              <w:left w:val="single" w:color="C9DCDC" w:sz="4"/>
              <w:bottom w:val="single" w:color="C9DCDC" w:sz="4"/>
              <w:right w:val="single" w:color="C9DCDC" w:sz="4"/>
            </w:tcBorders>
            <w:shd w:fill="006169" w:color="auto" w:val="clear"/>
            <w:tcMar>
              <w:top w:type="dxa" w:w="70"/>
              <w:left w:type="dxa" w:w="110"/>
              <w:bottom w:type="dxa" w:w="70"/>
              <w:right w:type="dxa" w:w="110"/>
            </w:tcMar>
          </w:tcPr>
          <w:p>
            <w:r>
              <w:rPr>
                <w:rFonts w:ascii="Arial" w:cs="Arial" w:eastAsia="Arial" w:hAnsi="Arial"/>
                <w:b/>
                <w:bCs/>
                <w:color w:val="FFFFFF"/>
                <w:sz w:val="19"/>
                <w:szCs w:val="19"/>
              </w:rPr>
              <w:t xml:space="preserve">Waarde</w:t>
            </w:r>
          </w:p>
        </w:tc>
      </w:tr>
      <w:tr>
        <w:trPr>
          <w:tblHeader w:val="false"/>
        </w:trPr>
        <w:tc>
          <w:tcPr>
            <w:tcW w:type="dxa" w:w="6212"/>
            <w:tcBorders>
              <w:top w:val="single" w:color="C9DCDC" w:sz="4"/>
              <w:left w:val="single" w:color="C9DCDC" w:sz="4"/>
              <w:bottom w:val="single" w:color="C9DCDC" w:sz="4"/>
              <w:right w:val="single" w:color="C9DCDC" w:sz="4"/>
            </w:tcBorders>
            <w:tcMar>
              <w:top w:type="dxa" w:w="70"/>
              <w:left w:type="dxa" w:w="110"/>
              <w:bottom w:type="dxa" w:w="70"/>
              <w:right w:type="dxa" w:w="110"/>
            </w:tcMar>
          </w:tcPr>
          <w:p>
            <w:r>
              <w:rPr>
                <w:rFonts w:ascii="Arial" w:cs="Arial" w:eastAsia="Arial" w:hAnsi="Arial"/>
                <w:b w:val="false"/>
                <w:bCs w:val="false"/>
                <w:color w:val="1A1A1A"/>
                <w:sz w:val="19"/>
                <w:szCs w:val="19"/>
              </w:rPr>
              <w:t xml:space="preserve">Occasions met nieuwe eigenaar, 1 okt 2025 t/m 28 sep 2026</w:t>
            </w:r>
          </w:p>
        </w:tc>
        <w:tc>
          <w:tcPr>
            <w:tcW w:type="dxa" w:w="3200"/>
            <w:tcBorders>
              <w:top w:val="single" w:color="C9DCDC" w:sz="4"/>
              <w:left w:val="single" w:color="C9DCDC" w:sz="4"/>
              <w:bottom w:val="single" w:color="C9DCDC" w:sz="4"/>
              <w:right w:val="single" w:color="C9DCDC" w:sz="4"/>
            </w:tcBorders>
            <w:tcMar>
              <w:top w:type="dxa" w:w="70"/>
              <w:left w:type="dxa" w:w="110"/>
              <w:bottom w:type="dxa" w:w="70"/>
              <w:right w:type="dxa" w:w="110"/>
            </w:tcMar>
          </w:tcPr>
          <w:p>
            <w:r>
              <w:rPr>
                <w:rFonts w:ascii="Arial" w:cs="Arial" w:eastAsia="Arial" w:hAnsi="Arial"/>
                <w:b w:val="false"/>
                <w:bCs w:val="false"/>
                <w:color w:val="1A1A1A"/>
                <w:sz w:val="19"/>
                <w:szCs w:val="19"/>
              </w:rPr>
              <w:t xml:space="preserve">2.059.356</w:t>
            </w:r>
          </w:p>
        </w:tc>
      </w:tr>
      <w:tr>
        <w:trPr>
          <w:tblHeader w:val="false"/>
        </w:trPr>
        <w:tc>
          <w:tcPr>
            <w:tcW w:type="dxa" w:w="6212"/>
            <w:tcBorders>
              <w:top w:val="single" w:color="C9DCDC" w:sz="4"/>
              <w:left w:val="single" w:color="C9DCDC" w:sz="4"/>
              <w:bottom w:val="single" w:color="C9DCDC" w:sz="4"/>
              <w:right w:val="single" w:color="C9DCDC" w:sz="4"/>
            </w:tcBorders>
            <w:shd w:fill="F0F7F7" w:color="auto" w:val="clear"/>
            <w:tcMar>
              <w:top w:type="dxa" w:w="70"/>
              <w:left w:type="dxa" w:w="110"/>
              <w:bottom w:type="dxa" w:w="70"/>
              <w:right w:type="dxa" w:w="110"/>
            </w:tcMar>
          </w:tcPr>
          <w:p>
            <w:r>
              <w:rPr>
                <w:rFonts w:ascii="Arial" w:cs="Arial" w:eastAsia="Arial" w:hAnsi="Arial"/>
                <w:b w:val="false"/>
                <w:bCs w:val="false"/>
                <w:color w:val="1A1A1A"/>
                <w:sz w:val="19"/>
                <w:szCs w:val="19"/>
              </w:rPr>
              <w:t xml:space="preserve">Waarvan met een RDW-tellerstandoordeel</w:t>
            </w:r>
          </w:p>
        </w:tc>
        <w:tc>
          <w:tcPr>
            <w:tcW w:type="dxa" w:w="3200"/>
            <w:tcBorders>
              <w:top w:val="single" w:color="C9DCDC" w:sz="4"/>
              <w:left w:val="single" w:color="C9DCDC" w:sz="4"/>
              <w:bottom w:val="single" w:color="C9DCDC" w:sz="4"/>
              <w:right w:val="single" w:color="C9DCDC" w:sz="4"/>
            </w:tcBorders>
            <w:shd w:fill="F0F7F7" w:color="auto" w:val="clear"/>
            <w:tcMar>
              <w:top w:type="dxa" w:w="70"/>
              <w:left w:type="dxa" w:w="110"/>
              <w:bottom w:type="dxa" w:w="70"/>
              <w:right w:type="dxa" w:w="110"/>
            </w:tcMar>
          </w:tcPr>
          <w:p>
            <w:r>
              <w:rPr>
                <w:rFonts w:ascii="Arial" w:cs="Arial" w:eastAsia="Arial" w:hAnsi="Arial"/>
                <w:b w:val="false"/>
                <w:bCs w:val="false"/>
                <w:color w:val="1A1A1A"/>
                <w:sz w:val="19"/>
                <w:szCs w:val="19"/>
              </w:rPr>
              <w:t xml:space="preserve">1.402.474</w:t>
            </w:r>
          </w:p>
        </w:tc>
      </w:tr>
      <w:tr>
        <w:trPr>
          <w:tblHeader w:val="false"/>
        </w:trPr>
        <w:tc>
          <w:tcPr>
            <w:tcW w:type="dxa" w:w="6212"/>
            <w:tcBorders>
              <w:top w:val="single" w:color="C9DCDC" w:sz="4"/>
              <w:left w:val="single" w:color="C9DCDC" w:sz="4"/>
              <w:bottom w:val="single" w:color="C9DCDC" w:sz="4"/>
              <w:right w:val="single" w:color="C9DCDC" w:sz="4"/>
            </w:tcBorders>
            <w:tcMar>
              <w:top w:type="dxa" w:w="70"/>
              <w:left w:type="dxa" w:w="110"/>
              <w:bottom w:type="dxa" w:w="70"/>
              <w:right w:type="dxa" w:w="110"/>
            </w:tcMar>
          </w:tcPr>
          <w:p>
            <w:r>
              <w:rPr>
                <w:rFonts w:ascii="Arial" w:cs="Arial" w:eastAsia="Arial" w:hAnsi="Arial"/>
                <w:b w:val="false"/>
                <w:bCs w:val="false"/>
                <w:color w:val="1A1A1A"/>
                <w:sz w:val="19"/>
                <w:szCs w:val="19"/>
              </w:rPr>
              <w:t xml:space="preserve">Waarvan met onlogische tellerstand</w:t>
            </w:r>
          </w:p>
        </w:tc>
        <w:tc>
          <w:tcPr>
            <w:tcW w:type="dxa" w:w="3200"/>
            <w:tcBorders>
              <w:top w:val="single" w:color="C9DCDC" w:sz="4"/>
              <w:left w:val="single" w:color="C9DCDC" w:sz="4"/>
              <w:bottom w:val="single" w:color="C9DCDC" w:sz="4"/>
              <w:right w:val="single" w:color="C9DCDC" w:sz="4"/>
            </w:tcBorders>
            <w:tcMar>
              <w:top w:type="dxa" w:w="70"/>
              <w:left w:type="dxa" w:w="110"/>
              <w:bottom w:type="dxa" w:w="70"/>
              <w:right w:type="dxa" w:w="110"/>
            </w:tcMar>
          </w:tcPr>
          <w:p>
            <w:r>
              <w:rPr>
                <w:rFonts w:ascii="Arial" w:cs="Arial" w:eastAsia="Arial" w:hAnsi="Arial"/>
                <w:b w:val="false"/>
                <w:bCs w:val="false"/>
                <w:color w:val="1A1A1A"/>
                <w:sz w:val="19"/>
                <w:szCs w:val="19"/>
              </w:rPr>
              <w:t xml:space="preserve">50.905</w:t>
            </w:r>
          </w:p>
        </w:tc>
      </w:tr>
      <w:tr>
        <w:trPr>
          <w:tblHeader w:val="false"/>
        </w:trPr>
        <w:tc>
          <w:tcPr>
            <w:tcW w:type="dxa" w:w="6212"/>
            <w:tcBorders>
              <w:top w:val="single" w:color="C9DCDC" w:sz="4"/>
              <w:left w:val="single" w:color="C9DCDC" w:sz="4"/>
              <w:bottom w:val="single" w:color="C9DCDC" w:sz="4"/>
              <w:right w:val="single" w:color="C9DCDC" w:sz="4"/>
            </w:tcBorders>
            <w:shd w:fill="F0F7F7" w:color="auto" w:val="clear"/>
            <w:tcMar>
              <w:top w:type="dxa" w:w="70"/>
              <w:left w:type="dxa" w:w="110"/>
              <w:bottom w:type="dxa" w:w="70"/>
              <w:right w:type="dxa" w:w="110"/>
            </w:tcMar>
          </w:tcPr>
          <w:p>
            <w:r>
              <w:rPr>
                <w:rFonts w:ascii="Arial" w:cs="Arial" w:eastAsia="Arial" w:hAnsi="Arial"/>
                <w:b w:val="false"/>
                <w:bCs w:val="false"/>
                <w:color w:val="1A1A1A"/>
                <w:sz w:val="19"/>
                <w:szCs w:val="19"/>
              </w:rPr>
              <w:t xml:space="preserve">Aandeel onlogisch onder auto's met oordeel</w:t>
            </w:r>
          </w:p>
        </w:tc>
        <w:tc>
          <w:tcPr>
            <w:tcW w:type="dxa" w:w="3200"/>
            <w:tcBorders>
              <w:top w:val="single" w:color="C9DCDC" w:sz="4"/>
              <w:left w:val="single" w:color="C9DCDC" w:sz="4"/>
              <w:bottom w:val="single" w:color="C9DCDC" w:sz="4"/>
              <w:right w:val="single" w:color="C9DCDC" w:sz="4"/>
            </w:tcBorders>
            <w:shd w:fill="F0F7F7" w:color="auto" w:val="clear"/>
            <w:tcMar>
              <w:top w:type="dxa" w:w="70"/>
              <w:left w:type="dxa" w:w="110"/>
              <w:bottom w:type="dxa" w:w="70"/>
              <w:right w:type="dxa" w:w="110"/>
            </w:tcMar>
          </w:tcPr>
          <w:p>
            <w:r>
              <w:rPr>
                <w:rFonts w:ascii="Arial" w:cs="Arial" w:eastAsia="Arial" w:hAnsi="Arial"/>
                <w:b w:val="false"/>
                <w:bCs w:val="false"/>
                <w:color w:val="1A1A1A"/>
                <w:sz w:val="19"/>
                <w:szCs w:val="19"/>
              </w:rPr>
              <w:t xml:space="preserve">3,6%</w:t>
            </w:r>
          </w:p>
        </w:tc>
      </w:tr>
      <w:tr>
        <w:trPr>
          <w:tblHeader w:val="false"/>
        </w:trPr>
        <w:tc>
          <w:tcPr>
            <w:tcW w:type="dxa" w:w="6212"/>
            <w:tcBorders>
              <w:top w:val="single" w:color="C9DCDC" w:sz="4"/>
              <w:left w:val="single" w:color="C9DCDC" w:sz="4"/>
              <w:bottom w:val="single" w:color="C9DCDC" w:sz="4"/>
              <w:right w:val="single" w:color="C9DCDC" w:sz="4"/>
            </w:tcBorders>
            <w:tcMar>
              <w:top w:type="dxa" w:w="70"/>
              <w:left w:type="dxa" w:w="110"/>
              <w:bottom w:type="dxa" w:w="70"/>
              <w:right w:type="dxa" w:w="110"/>
            </w:tcMar>
          </w:tcPr>
          <w:p>
            <w:r>
              <w:rPr>
                <w:rFonts w:ascii="Arial" w:cs="Arial" w:eastAsia="Arial" w:hAnsi="Arial"/>
                <w:b w:val="false"/>
                <w:bCs w:val="false"/>
                <w:color w:val="1A1A1A"/>
                <w:sz w:val="19"/>
                <w:szCs w:val="19"/>
              </w:rPr>
              <w:t xml:space="preserve">Onlogisch, 1 t/m 28 september 2026</w:t>
            </w:r>
          </w:p>
        </w:tc>
        <w:tc>
          <w:tcPr>
            <w:tcW w:type="dxa" w:w="3200"/>
            <w:tcBorders>
              <w:top w:val="single" w:color="C9DCDC" w:sz="4"/>
              <w:left w:val="single" w:color="C9DCDC" w:sz="4"/>
              <w:bottom w:val="single" w:color="C9DCDC" w:sz="4"/>
              <w:right w:val="single" w:color="C9DCDC" w:sz="4"/>
            </w:tcBorders>
            <w:tcMar>
              <w:top w:type="dxa" w:w="70"/>
              <w:left w:type="dxa" w:w="110"/>
              <w:bottom w:type="dxa" w:w="70"/>
              <w:right w:type="dxa" w:w="110"/>
            </w:tcMar>
          </w:tcPr>
          <w:p>
            <w:r>
              <w:rPr>
                <w:rFonts w:ascii="Arial" w:cs="Arial" w:eastAsia="Arial" w:hAnsi="Arial"/>
                <w:b w:val="false"/>
                <w:bCs w:val="false"/>
                <w:color w:val="1A1A1A"/>
                <w:sz w:val="19"/>
                <w:szCs w:val="19"/>
              </w:rPr>
              <w:t xml:space="preserve">6.736</w:t>
            </w:r>
          </w:p>
        </w:tc>
      </w:tr>
      <w:tr>
        <w:trPr>
          <w:tblHeader w:val="false"/>
        </w:trPr>
        <w:tc>
          <w:tcPr>
            <w:tcW w:type="dxa" w:w="6212"/>
            <w:tcBorders>
              <w:top w:val="single" w:color="C9DCDC" w:sz="4"/>
              <w:left w:val="single" w:color="C9DCDC" w:sz="4"/>
              <w:bottom w:val="single" w:color="C9DCDC" w:sz="4"/>
              <w:right w:val="single" w:color="C9DCDC" w:sz="4"/>
            </w:tcBorders>
            <w:shd w:fill="F0F7F7" w:color="auto" w:val="clear"/>
            <w:tcMar>
              <w:top w:type="dxa" w:w="70"/>
              <w:left w:type="dxa" w:w="110"/>
              <w:bottom w:type="dxa" w:w="70"/>
              <w:right w:type="dxa" w:w="110"/>
            </w:tcMar>
          </w:tcPr>
          <w:p>
            <w:r>
              <w:rPr>
                <w:rFonts w:ascii="Arial" w:cs="Arial" w:eastAsia="Arial" w:hAnsi="Arial"/>
                <w:b w:val="false"/>
                <w:bCs w:val="false"/>
                <w:color w:val="1A1A1A"/>
                <w:sz w:val="19"/>
                <w:szCs w:val="19"/>
              </w:rPr>
              <w:t xml:space="preserve">Onlogisch en vijftien jaar of ouder</w:t>
            </w:r>
          </w:p>
        </w:tc>
        <w:tc>
          <w:tcPr>
            <w:tcW w:type="dxa" w:w="3200"/>
            <w:tcBorders>
              <w:top w:val="single" w:color="C9DCDC" w:sz="4"/>
              <w:left w:val="single" w:color="C9DCDC" w:sz="4"/>
              <w:bottom w:val="single" w:color="C9DCDC" w:sz="4"/>
              <w:right w:val="single" w:color="C9DCDC" w:sz="4"/>
            </w:tcBorders>
            <w:shd w:fill="F0F7F7" w:color="auto" w:val="clear"/>
            <w:tcMar>
              <w:top w:type="dxa" w:w="70"/>
              <w:left w:type="dxa" w:w="110"/>
              <w:bottom w:type="dxa" w:w="70"/>
              <w:right w:type="dxa" w:w="110"/>
            </w:tcMar>
          </w:tcPr>
          <w:p>
            <w:r>
              <w:rPr>
                <w:rFonts w:ascii="Arial" w:cs="Arial" w:eastAsia="Arial" w:hAnsi="Arial"/>
                <w:b w:val="false"/>
                <w:bCs w:val="false"/>
                <w:color w:val="1A1A1A"/>
                <w:sz w:val="19"/>
                <w:szCs w:val="19"/>
              </w:rPr>
              <w:t xml:space="preserve">27.207 (6,6% van die groep)</w:t>
            </w:r>
          </w:p>
        </w:tc>
      </w:tr>
      <w:tr>
        <w:trPr>
          <w:tblHeader w:val="false"/>
        </w:trPr>
        <w:tc>
          <w:tcPr>
            <w:tcW w:type="dxa" w:w="6212"/>
            <w:tcBorders>
              <w:top w:val="single" w:color="C9DCDC" w:sz="4"/>
              <w:left w:val="single" w:color="C9DCDC" w:sz="4"/>
              <w:bottom w:val="single" w:color="C9DCDC" w:sz="4"/>
              <w:right w:val="single" w:color="C9DCDC" w:sz="4"/>
            </w:tcBorders>
            <w:tcMar>
              <w:top w:type="dxa" w:w="70"/>
              <w:left w:type="dxa" w:w="110"/>
              <w:bottom w:type="dxa" w:w="70"/>
              <w:right w:type="dxa" w:w="110"/>
            </w:tcMar>
          </w:tcPr>
          <w:p>
            <w:r>
              <w:rPr>
                <w:rFonts w:ascii="Arial" w:cs="Arial" w:eastAsia="Arial" w:hAnsi="Arial"/>
                <w:b w:val="false"/>
                <w:bCs w:val="false"/>
                <w:color w:val="1A1A1A"/>
                <w:sz w:val="19"/>
                <w:szCs w:val="19"/>
              </w:rPr>
              <w:t xml:space="preserve">Onlogisch en jonger dan vijf jaar</w:t>
            </w:r>
          </w:p>
        </w:tc>
        <w:tc>
          <w:tcPr>
            <w:tcW w:type="dxa" w:w="3200"/>
            <w:tcBorders>
              <w:top w:val="single" w:color="C9DCDC" w:sz="4"/>
              <w:left w:val="single" w:color="C9DCDC" w:sz="4"/>
              <w:bottom w:val="single" w:color="C9DCDC" w:sz="4"/>
              <w:right w:val="single" w:color="C9DCDC" w:sz="4"/>
            </w:tcBorders>
            <w:tcMar>
              <w:top w:type="dxa" w:w="70"/>
              <w:left w:type="dxa" w:w="110"/>
              <w:bottom w:type="dxa" w:w="70"/>
              <w:right w:type="dxa" w:w="110"/>
            </w:tcMar>
          </w:tcPr>
          <w:p>
            <w:r>
              <w:rPr>
                <w:rFonts w:ascii="Arial" w:cs="Arial" w:eastAsia="Arial" w:hAnsi="Arial"/>
                <w:b w:val="false"/>
                <w:bCs w:val="false"/>
                <w:color w:val="1A1A1A"/>
                <w:sz w:val="19"/>
                <w:szCs w:val="19"/>
              </w:rPr>
              <w:t xml:space="preserve">7.132 (1,9% van die groep)</w:t>
            </w:r>
          </w:p>
        </w:tc>
      </w:tr>
      <w:tr>
        <w:trPr>
          <w:tblHeader w:val="false"/>
        </w:trPr>
        <w:tc>
          <w:tcPr>
            <w:tcW w:type="dxa" w:w="6212"/>
            <w:tcBorders>
              <w:top w:val="single" w:color="C9DCDC" w:sz="4"/>
              <w:left w:val="single" w:color="C9DCDC" w:sz="4"/>
              <w:bottom w:val="single" w:color="C9DCDC" w:sz="4"/>
              <w:right w:val="single" w:color="C9DCDC" w:sz="4"/>
            </w:tcBorders>
            <w:shd w:fill="F0F7F7" w:color="auto" w:val="clear"/>
            <w:tcMar>
              <w:top w:type="dxa" w:w="70"/>
              <w:left w:type="dxa" w:w="110"/>
              <w:bottom w:type="dxa" w:w="70"/>
              <w:right w:type="dxa" w:w="110"/>
            </w:tcMar>
          </w:tcPr>
          <w:p>
            <w:r>
              <w:rPr>
                <w:rFonts w:ascii="Arial" w:cs="Arial" w:eastAsia="Arial" w:hAnsi="Arial"/>
                <w:b w:val="false"/>
                <w:bCs w:val="false"/>
                <w:color w:val="1A1A1A"/>
                <w:sz w:val="19"/>
                <w:szCs w:val="19"/>
              </w:rPr>
              <w:t xml:space="preserve">Onlogisch en geïmporteerd</w:t>
            </w:r>
          </w:p>
        </w:tc>
        <w:tc>
          <w:tcPr>
            <w:tcW w:type="dxa" w:w="3200"/>
            <w:tcBorders>
              <w:top w:val="single" w:color="C9DCDC" w:sz="4"/>
              <w:left w:val="single" w:color="C9DCDC" w:sz="4"/>
              <w:bottom w:val="single" w:color="C9DCDC" w:sz="4"/>
              <w:right w:val="single" w:color="C9DCDC" w:sz="4"/>
            </w:tcBorders>
            <w:shd w:fill="F0F7F7" w:color="auto" w:val="clear"/>
            <w:tcMar>
              <w:top w:type="dxa" w:w="70"/>
              <w:left w:type="dxa" w:w="110"/>
              <w:bottom w:type="dxa" w:w="70"/>
              <w:right w:type="dxa" w:w="110"/>
            </w:tcMar>
          </w:tcPr>
          <w:p>
            <w:r>
              <w:rPr>
                <w:rFonts w:ascii="Arial" w:cs="Arial" w:eastAsia="Arial" w:hAnsi="Arial"/>
                <w:b w:val="false"/>
                <w:bCs w:val="false"/>
                <w:color w:val="1A1A1A"/>
                <w:sz w:val="19"/>
                <w:szCs w:val="19"/>
              </w:rPr>
              <w:t xml:space="preserve">18.606</w:t>
            </w:r>
          </w:p>
        </w:tc>
      </w:tr>
      <w:tr>
        <w:trPr>
          <w:tblHeader w:val="false"/>
        </w:trPr>
        <w:tc>
          <w:tcPr>
            <w:tcW w:type="dxa" w:w="6212"/>
            <w:tcBorders>
              <w:top w:val="single" w:color="C9DCDC" w:sz="4"/>
              <w:left w:val="single" w:color="C9DCDC" w:sz="4"/>
              <w:bottom w:val="single" w:color="C9DCDC" w:sz="4"/>
              <w:right w:val="single" w:color="C9DCDC" w:sz="4"/>
            </w:tcBorders>
            <w:tcMar>
              <w:top w:type="dxa" w:w="70"/>
              <w:left w:type="dxa" w:w="110"/>
              <w:bottom w:type="dxa" w:w="70"/>
              <w:right w:type="dxa" w:w="110"/>
            </w:tcMar>
          </w:tcPr>
          <w:p>
            <w:r>
              <w:rPr>
                <w:rFonts w:ascii="Arial" w:cs="Arial" w:eastAsia="Arial" w:hAnsi="Arial"/>
                <w:b w:val="false"/>
                <w:bCs w:val="false"/>
                <w:color w:val="1A1A1A"/>
                <w:sz w:val="19"/>
                <w:szCs w:val="19"/>
              </w:rPr>
              <w:t xml:space="preserve">Onlogisch, met tellerstandregistratie dit jaar</w:t>
            </w:r>
          </w:p>
        </w:tc>
        <w:tc>
          <w:tcPr>
            <w:tcW w:type="dxa" w:w="3200"/>
            <w:tcBorders>
              <w:top w:val="single" w:color="C9DCDC" w:sz="4"/>
              <w:left w:val="single" w:color="C9DCDC" w:sz="4"/>
              <w:bottom w:val="single" w:color="C9DCDC" w:sz="4"/>
              <w:right w:val="single" w:color="C9DCDC" w:sz="4"/>
            </w:tcBorders>
            <w:tcMar>
              <w:top w:type="dxa" w:w="70"/>
              <w:left w:type="dxa" w:w="110"/>
              <w:bottom w:type="dxa" w:w="70"/>
              <w:right w:type="dxa" w:w="110"/>
            </w:tcMar>
          </w:tcPr>
          <w:p>
            <w:r>
              <w:rPr>
                <w:rFonts w:ascii="Arial" w:cs="Arial" w:eastAsia="Arial" w:hAnsi="Arial"/>
                <w:b w:val="false"/>
                <w:bCs w:val="false"/>
                <w:color w:val="1A1A1A"/>
                <w:sz w:val="19"/>
                <w:szCs w:val="19"/>
              </w:rPr>
              <w:t xml:space="preserve">43.039 (85%)</w:t>
            </w:r>
          </w:p>
        </w:tc>
      </w:tr>
    </w:tbl>
    <w:p>
      <w:pPr>
        <w:spacing w:after="80"/>
      </w:pPr>
    </w:p>
    <w:p>
      <w:pPr>
        <w:pStyle w:val="Heading2"/>
        <w:spacing w:after="100" w:before="260"/>
      </w:pPr>
      <w:r>
        <w:rPr>
          <w:rFonts w:ascii="Arial" w:cs="Arial" w:eastAsia="Arial" w:hAnsi="Arial"/>
          <w:b/>
          <w:bCs/>
          <w:color w:val="006169"/>
          <w:sz w:val="24"/>
          <w:szCs w:val="24"/>
        </w:rPr>
        <w:t xml:space="preserve">Methode</w:t>
      </w:r>
    </w:p>
    <w:p>
      <w:pPr>
        <w:pStyle w:val="ListParagraph"/>
        <w:numPr>
          <w:ilvl w:val="0"/>
          <w:numId w:val="2"/>
        </w:numPr>
        <w:spacing w:after="100" w:line="290"/>
      </w:pPr>
      <w:r>
        <w:rPr>
          <w:rFonts w:ascii="Arial" w:cs="Arial" w:eastAsia="Arial" w:hAnsi="Arial"/>
          <w:b/>
          <w:bCs/>
          <w:color w:val="1A1A1A"/>
          <w:sz w:val="21"/>
          <w:szCs w:val="21"/>
        </w:rPr>
        <w:t xml:space="preserve">Bron:</w:t>
      </w:r>
      <w:r>
        <w:rPr>
          <w:rFonts w:ascii="Arial" w:cs="Arial" w:eastAsia="Arial" w:hAnsi="Arial"/>
          <w:color w:val="1A1A1A"/>
          <w:sz w:val="21"/>
          <w:szCs w:val="21"/>
        </w:rPr>
        <w:t xml:space="preserve"> RDW Open Data, dataset Gekentekende voertuigen, opgevraagd op 30 september 2026. Recentste tenaamstelling in de data: 28 september 2026.</w:t>
      </w:r>
    </w:p>
    <w:p>
      <w:pPr>
        <w:pStyle w:val="ListParagraph"/>
        <w:numPr>
          <w:ilvl w:val="0"/>
          <w:numId w:val="2"/>
        </w:numPr>
        <w:spacing w:after="100" w:line="290"/>
      </w:pPr>
      <w:r>
        <w:rPr>
          <w:rFonts w:ascii="Arial" w:cs="Arial" w:eastAsia="Arial" w:hAnsi="Arial"/>
          <w:b/>
          <w:bCs/>
          <w:color w:val="1A1A1A"/>
          <w:sz w:val="21"/>
          <w:szCs w:val="21"/>
        </w:rPr>
        <w:t xml:space="preserve">Occasion met nieuwe eigenaar:</w:t>
      </w:r>
      <w:r>
        <w:rPr>
          <w:rFonts w:ascii="Arial" w:cs="Arial" w:eastAsia="Arial" w:hAnsi="Arial"/>
          <w:color w:val="1A1A1A"/>
          <w:sz w:val="21"/>
          <w:szCs w:val="21"/>
        </w:rPr>
        <w:t xml:space="preserve"> personenauto waarvan de huidige tenaamstelling tussen 1 oktober 2025 en 28 september 2026 ligt en later is dan de eerste tenaamstelling in Nederland. Nieuwe en net geïmporteerde auto's vallen daardoor buiten de telling. Elke auto telt één keer. Een nieuwe tenaamstelling is meestal, maar niet altijd, een verkoop.</w:t>
      </w:r>
    </w:p>
    <w:p>
      <w:pPr>
        <w:pStyle w:val="ListParagraph"/>
        <w:numPr>
          <w:ilvl w:val="0"/>
          <w:numId w:val="2"/>
        </w:numPr>
        <w:spacing w:after="100" w:line="290"/>
      </w:pPr>
      <w:r>
        <w:rPr>
          <w:rFonts w:ascii="Arial" w:cs="Arial" w:eastAsia="Arial" w:hAnsi="Arial"/>
          <w:b/>
          <w:bCs/>
          <w:color w:val="1A1A1A"/>
          <w:sz w:val="21"/>
          <w:szCs w:val="21"/>
        </w:rPr>
        <w:t xml:space="preserve">Onlogische tellerstand:</w:t>
      </w:r>
      <w:r>
        <w:rPr>
          <w:rFonts w:ascii="Arial" w:cs="Arial" w:eastAsia="Arial" w:hAnsi="Arial"/>
          <w:color w:val="1A1A1A"/>
          <w:sz w:val="21"/>
          <w:szCs w:val="21"/>
        </w:rPr>
        <w:t xml:space="preserve"> tellerstandoordeel ‘Onlogisch’, in alle gevallen met RDW-toelichtingscode 04: in de reeks is een tellerstand geregistreerd die lager is dan de stand daarvoor.</w:t>
      </w:r>
    </w:p>
    <w:p>
      <w:pPr>
        <w:pStyle w:val="ListParagraph"/>
        <w:numPr>
          <w:ilvl w:val="0"/>
          <w:numId w:val="2"/>
        </w:numPr>
        <w:spacing w:after="100" w:line="290"/>
      </w:pPr>
      <w:r>
        <w:rPr>
          <w:rFonts w:ascii="Arial" w:cs="Arial" w:eastAsia="Arial" w:hAnsi="Arial"/>
          <w:b/>
          <w:bCs/>
          <w:color w:val="1A1A1A"/>
          <w:sz w:val="21"/>
          <w:szCs w:val="21"/>
        </w:rPr>
        <w:t xml:space="preserve">Aandeel:</w:t>
      </w:r>
      <w:r>
        <w:rPr>
          <w:rFonts w:ascii="Arial" w:cs="Arial" w:eastAsia="Arial" w:hAnsi="Arial"/>
          <w:color w:val="1A1A1A"/>
          <w:sz w:val="21"/>
          <w:szCs w:val="21"/>
        </w:rPr>
        <w:t xml:space="preserve"> berekend over auto's waarvoor de RDW een oordeel geeft (logisch of onlogisch). Voor 656.882 auto's geeft de RDW geen oordeel, vooral omdat ze in het buitenland geregistreerd zijn geweest.</w:t>
      </w:r>
    </w:p>
    <w:p>
      <w:pPr>
        <w:pStyle w:val="ListParagraph"/>
        <w:numPr>
          <w:ilvl w:val="0"/>
          <w:numId w:val="2"/>
        </w:numPr>
        <w:spacing w:after="100" w:line="290"/>
      </w:pPr>
      <w:r>
        <w:rPr>
          <w:rFonts w:ascii="Arial" w:cs="Arial" w:eastAsia="Arial" w:hAnsi="Arial"/>
          <w:b/>
          <w:bCs/>
          <w:color w:val="1A1A1A"/>
          <w:sz w:val="21"/>
          <w:szCs w:val="21"/>
        </w:rPr>
        <w:t xml:space="preserve">Leeftijdscorrectie per merk:</w:t>
      </w:r>
      <w:r>
        <w:rPr>
          <w:rFonts w:ascii="Arial" w:cs="Arial" w:eastAsia="Arial" w:hAnsi="Arial"/>
          <w:color w:val="1A1A1A"/>
          <w:sz w:val="21"/>
          <w:szCs w:val="21"/>
        </w:rPr>
        <w:t xml:space="preserve"> per merk is het aandeel per leeftijdsgroep (0-5, 5-10, 10-15 en 15+ jaar) gewogen naar de leeftijdsverdeling van alle auto's in de telling. Merken met minder dan 15.000 auto's met een oordeel zijn weggelaten.</w:t>
      </w:r>
    </w:p>
    <w:p>
      <w:pPr>
        <w:pStyle w:val="ListParagraph"/>
        <w:numPr>
          <w:ilvl w:val="0"/>
          <w:numId w:val="2"/>
        </w:numPr>
        <w:spacing w:after="100" w:line="290"/>
      </w:pPr>
      <w:r>
        <w:rPr>
          <w:rFonts w:ascii="Arial" w:cs="Arial" w:eastAsia="Arial" w:hAnsi="Arial"/>
          <w:b/>
          <w:bCs/>
          <w:color w:val="1A1A1A"/>
          <w:sz w:val="21"/>
          <w:szCs w:val="21"/>
        </w:rPr>
        <w:t xml:space="preserve">Import:</w:t>
      </w:r>
      <w:r>
        <w:rPr>
          <w:rFonts w:ascii="Arial" w:cs="Arial" w:eastAsia="Arial" w:hAnsi="Arial"/>
          <w:color w:val="1A1A1A"/>
          <w:sz w:val="21"/>
          <w:szCs w:val="21"/>
        </w:rPr>
        <w:t xml:space="preserve"> de eerste toelating ligt vóór de eerste tenaamstelling in Nederland.</w:t>
      </w:r>
    </w:p>
    <w:p>
      <w:pPr>
        <w:pStyle w:val="Heading2"/>
        <w:spacing w:after="100" w:before="260"/>
      </w:pPr>
      <w:r>
        <w:rPr>
          <w:rFonts w:ascii="Arial" w:cs="Arial" w:eastAsia="Arial" w:hAnsi="Arial"/>
          <w:b/>
          <w:bCs/>
          <w:color w:val="006169"/>
          <w:sz w:val="24"/>
          <w:szCs w:val="24"/>
        </w:rPr>
        <w:t xml:space="preserve">Noot voor de redactie</w:t>
      </w:r>
    </w:p>
    <w:p>
      <w:pPr>
        <w:pStyle w:val="ListParagraph"/>
        <w:numPr>
          <w:ilvl w:val="0"/>
          <w:numId w:val="2"/>
        </w:numPr>
        <w:spacing w:after="100" w:line="290"/>
      </w:pPr>
      <w:r>
        <w:rPr>
          <w:rFonts w:ascii="Arial" w:cs="Arial" w:eastAsia="Arial" w:hAnsi="Arial"/>
          <w:color w:val="1A1A1A"/>
          <w:sz w:val="21"/>
          <w:szCs w:val="21"/>
        </w:rPr>
        <w:t xml:space="preserve">Het oordeel is de huidige status. Het kan ook na de eigendomswissel zijn ontstaan, bijvoorbeeld bij een latere APK.</w:t>
      </w:r>
    </w:p>
    <w:p>
      <w:pPr>
        <w:pStyle w:val="ListParagraph"/>
        <w:numPr>
          <w:ilvl w:val="0"/>
          <w:numId w:val="2"/>
        </w:numPr>
        <w:spacing w:after="100" w:line="290"/>
      </w:pPr>
      <w:r>
        <w:rPr>
          <w:rFonts w:ascii="Arial" w:cs="Arial" w:eastAsia="Arial" w:hAnsi="Arial"/>
          <w:color w:val="1A1A1A"/>
          <w:sz w:val="21"/>
          <w:szCs w:val="21"/>
        </w:rPr>
        <w:t xml:space="preserve">Een onlogisch oordeel is geen bewijs van fraude. De RDW noemt zelf een typfout als mogelijke oorzaak.</w:t>
      </w:r>
    </w:p>
    <w:p>
      <w:pPr>
        <w:pStyle w:val="ListParagraph"/>
        <w:numPr>
          <w:ilvl w:val="0"/>
          <w:numId w:val="2"/>
        </w:numPr>
        <w:spacing w:after="100" w:line="290"/>
      </w:pPr>
      <w:r>
        <w:rPr>
          <w:rFonts w:ascii="Arial" w:cs="Arial" w:eastAsia="Arial" w:hAnsi="Arial"/>
          <w:color w:val="1A1A1A"/>
          <w:sz w:val="21"/>
          <w:szCs w:val="21"/>
        </w:rPr>
        <w:t xml:space="preserve">De cijfers zijn per kenteken na te gaan via de RDW. Het script en de ruwe data zijn op aanvraag beschikbaar.</w:t>
      </w:r>
    </w:p>
    <w:p>
      <w:pPr>
        <w:pStyle w:val="ListParagraph"/>
        <w:numPr>
          <w:ilvl w:val="0"/>
          <w:numId w:val="2"/>
        </w:numPr>
        <w:spacing w:after="100" w:line="290"/>
      </w:pPr>
      <w:r>
        <w:rPr>
          <w:rFonts w:ascii="Arial" w:cs="Arial" w:eastAsia="Arial" w:hAnsi="Arial"/>
          <w:color w:val="1A1A1A"/>
          <w:sz w:val="21"/>
          <w:szCs w:val="21"/>
        </w:rPr>
        <w:t xml:space="preserve">Volledig onderzoek, grafieken en infographic: https://www.ikwilvanmijnautoaf.nl/blog/onderzoek-tellerstanden</w:t>
      </w:r>
    </w:p>
    <w:p>
      <w:pPr>
        <w:pStyle w:val="ListParagraph"/>
        <w:numPr>
          <w:ilvl w:val="0"/>
          <w:numId w:val="2"/>
        </w:numPr>
        <w:spacing w:after="100" w:line="290"/>
      </w:pPr>
      <w:r>
        <w:rPr>
          <w:rFonts w:ascii="Arial" w:cs="Arial" w:eastAsia="Arial" w:hAnsi="Arial"/>
          <w:color w:val="1A1A1A"/>
          <w:sz w:val="21"/>
          <w:szCs w:val="21"/>
        </w:rPr>
        <w:t xml:space="preserve">Bijgevoegd: infographic (PNG), vrij te gebruiken met bronvermelding ikwilvanmijnautoaf.nl.</w:t>
      </w:r>
    </w:p>
    <w:p>
      <w:pPr>
        <w:pStyle w:val="ListParagraph"/>
        <w:numPr>
          <w:ilvl w:val="0"/>
          <w:numId w:val="2"/>
        </w:numPr>
        <w:spacing w:after="100" w:line="290"/>
      </w:pPr>
      <w:r>
        <w:rPr>
          <w:rFonts w:ascii="Arial" w:cs="Arial" w:eastAsia="Arial" w:hAnsi="Arial"/>
          <w:b/>
          <w:bCs/>
          <w:color w:val="1A1A1A"/>
          <w:sz w:val="21"/>
          <w:szCs w:val="21"/>
        </w:rPr>
        <w:t xml:space="preserve">Contact:</w:t>
      </w:r>
      <w:r>
        <w:rPr>
          <w:rFonts w:ascii="Arial" w:cs="Arial" w:eastAsia="Arial" w:hAnsi="Arial"/>
          <w:color w:val="1A1A1A"/>
          <w:sz w:val="21"/>
          <w:szCs w:val="21"/>
        </w:rPr>
        <w:t xml:space="preserve"> Juri Mensink, marketingmanager, +31 6 55747501, </w:t>
      </w:r>
      <w:hyperlink w:history="1" r:id="rId9_zdxwyfhgnb_25evtiq4">
        <w:r>
          <w:rPr>
            <w:rFonts w:ascii="Arial" w:cs="Arial" w:eastAsia="Arial" w:hAnsi="Arial"/>
            <w:color w:val="006169"/>
            <w:sz w:val="21"/>
            <w:szCs w:val="21"/>
            <w:u w:val="single"/>
          </w:rPr>
          <w:t xml:space="preserve">juri.mensink@dealerdirect.com</w:t>
        </w:r>
      </w:hyperlink>
    </w:p>
    <w:p>
      <w:pPr>
        <w:pStyle w:val="Heading2"/>
        <w:spacing w:after="100" w:before="260"/>
      </w:pPr>
      <w:r>
        <w:rPr>
          <w:rFonts w:ascii="Arial" w:cs="Arial" w:eastAsia="Arial" w:hAnsi="Arial"/>
          <w:b/>
          <w:bCs/>
          <w:color w:val="006169"/>
          <w:sz w:val="24"/>
          <w:szCs w:val="24"/>
        </w:rPr>
        <w:t xml:space="preserve">Over ikwilvanmijnautoaf.nl</w:t>
      </w:r>
    </w:p>
    <w:p>
      <w:pPr>
        <w:spacing w:after="140" w:line="300"/>
      </w:pPr>
      <w:r>
        <w:rPr>
          <w:rFonts w:ascii="Arial" w:cs="Arial" w:eastAsia="Arial" w:hAnsi="Arial"/>
          <w:color w:val="555555"/>
          <w:sz w:val="19"/>
          <w:szCs w:val="19"/>
        </w:rPr>
        <w:t xml:space="preserve">ikwilvanmijnautoaf.nl is een online verkoopservice waarmee particulieren hun auto verkopen aan een gesloten netwerk van RDW-erkende dealers. Aanmelden is gratis en vrijblijvend: de verkoper beslist zelf of hij een voorstel accepteert. Sinds 2006 zijn via het platform meer dan 500.000 voertuigen verkocht. ikwilvanmijnautoaf.nl is onderdeel van Dealerdirect.</w:t>
      </w:r>
    </w:p>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88888"/>
        <w:sz w:val="16"/>
        <w:szCs w:val="16"/>
      </w:rPr>
      <w:t xml:space="preserve">ikwilvanmijnautoaf.nl, persbericht onlogische tellerstanden  </w:t>
    </w:r>
    <w:r>
      <w:rPr>
        <w:rFonts w:ascii="Arial" w:cs="Arial" w:eastAsia="Arial"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00" w:before="260"/>
      <w:outlineLvl w:val="1"/>
    </w:pPr>
    <w:rPr>
      <w:rFonts w:ascii="Arial" w:cs="Arial" w:eastAsia="Arial" w:hAnsi="Arial"/>
      <w:b/>
      <w:bCs/>
      <w:color w:val="006169"/>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_zdxwyfhgnb_25evtiq4" Type="http://schemas.openxmlformats.org/officeDocument/2006/relationships/hyperlink" Target="mailto:juri.mensink@dealerdirect.com" TargetMode="External"/><Relationship Id="rId8" Type="http://schemas.openxmlformats.org/officeDocument/2006/relationships/image" Target="media/1b66657d9de79ce35dfcdb17c17fa037fda8e84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2026-10-05T09:51:34.003Z</dcterms:created>
  <dcterms:modified xsi:type="dcterms:W3CDTF">2026-10-05T09:51:34.014Z</dcterms:modified>
</cp:coreProperties>
</file>

<file path=docProps/custom.xml><?xml version="1.0" encoding="utf-8"?>
<Properties xmlns="http://schemas.openxmlformats.org/officeDocument/2006/custom-properties" xmlns:vt="http://schemas.openxmlformats.org/officeDocument/2006/docPropsVTypes"/>
</file>